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Default="00BD2167" w:rsidP="00210CA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</w:t>
      </w:r>
      <w:r w:rsidR="007F0785">
        <w:t>4</w:t>
      </w:r>
      <w:r w:rsidR="00287E91">
        <w:t>84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287E91">
        <w:rPr>
          <w:sz w:val="24"/>
          <w:lang w:val="ru-RU"/>
        </w:rPr>
        <w:t>23</w:t>
      </w:r>
      <w:r>
        <w:rPr>
          <w:sz w:val="24"/>
          <w:lang w:val="ru-RU"/>
        </w:rPr>
        <w:t xml:space="preserve">» </w:t>
      </w:r>
      <w:r w:rsidR="00287E91">
        <w:rPr>
          <w:sz w:val="24"/>
          <w:lang w:val="ru-RU"/>
        </w:rPr>
        <w:t xml:space="preserve">июня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30</w:t>
      </w:r>
      <w:r w:rsidR="00287E91">
        <w:rPr>
          <w:sz w:val="24"/>
          <w:lang w:val="ru-RU"/>
        </w:rPr>
        <w:t>7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2934"/>
        <w:gridCol w:w="6172"/>
      </w:tblGrid>
      <w:tr w:rsidR="00A13931" w:rsidRPr="008231EE" w:rsidTr="00287E91">
        <w:tc>
          <w:tcPr>
            <w:tcW w:w="807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>Адрес электронной почты: e-</w:t>
            </w:r>
            <w:proofErr w:type="spellStart"/>
            <w:r w:rsidRPr="00E85890">
              <w:rPr>
                <w:sz w:val="20"/>
              </w:rPr>
              <w:t>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r w:rsidR="00023DBA">
              <w:fldChar w:fldCharType="begin"/>
            </w:r>
            <w:r w:rsidR="00023DBA" w:rsidRPr="008231EE">
              <w:rPr>
                <w:lang w:val="ru-RU"/>
              </w:rPr>
              <w:instrText xml:space="preserve"> </w:instrText>
            </w:r>
            <w:r w:rsidR="00023DBA">
              <w:instrText>HYPERLINK</w:instrText>
            </w:r>
            <w:r w:rsidR="00023DBA" w:rsidRPr="008231EE">
              <w:rPr>
                <w:lang w:val="ru-RU"/>
              </w:rPr>
              <w:instrText xml:space="preserve"> "</w:instrText>
            </w:r>
            <w:r w:rsidR="00023DBA">
              <w:instrText>https</w:instrText>
            </w:r>
            <w:r w:rsidR="00023DBA" w:rsidRPr="008231EE">
              <w:rPr>
                <w:lang w:val="ru-RU"/>
              </w:rPr>
              <w:instrText>://</w:instrText>
            </w:r>
            <w:r w:rsidR="00023DBA">
              <w:instrText>www</w:instrText>
            </w:r>
            <w:r w:rsidR="00023DBA" w:rsidRPr="008231EE">
              <w:rPr>
                <w:lang w:val="ru-RU"/>
              </w:rPr>
              <w:instrText>.</w:instrText>
            </w:r>
            <w:r w:rsidR="00023DBA">
              <w:instrText>rts</w:instrText>
            </w:r>
            <w:r w:rsidR="00023DBA" w:rsidRPr="008231EE">
              <w:rPr>
                <w:lang w:val="ru-RU"/>
              </w:rPr>
              <w:instrText>-</w:instrText>
            </w:r>
            <w:r w:rsidR="00023DBA">
              <w:instrText>tender</w:instrText>
            </w:r>
            <w:r w:rsidR="00023DBA" w:rsidRPr="008231EE">
              <w:rPr>
                <w:lang w:val="ru-RU"/>
              </w:rPr>
              <w:instrText>.</w:instrText>
            </w:r>
            <w:r w:rsidR="00023DBA">
              <w:instrText>ru</w:instrText>
            </w:r>
            <w:r w:rsidR="00023DBA" w:rsidRPr="008231EE">
              <w:rPr>
                <w:lang w:val="ru-RU"/>
              </w:rPr>
              <w:instrText>/</w:instrText>
            </w:r>
            <w:r w:rsidR="00023DBA">
              <w:instrText>property</w:instrText>
            </w:r>
            <w:r w:rsidR="00023DBA" w:rsidRPr="008231EE">
              <w:rPr>
                <w:lang w:val="ru-RU"/>
              </w:rPr>
              <w:instrText>-</w:instrText>
            </w:r>
            <w:r w:rsidR="00023DBA">
              <w:instrText>sales</w:instrText>
            </w:r>
            <w:r w:rsidR="00023DBA" w:rsidRPr="008231EE">
              <w:rPr>
                <w:lang w:val="ru-RU"/>
              </w:rPr>
              <w:instrText xml:space="preserve">" </w:instrText>
            </w:r>
            <w:r w:rsidR="00023DBA">
              <w:fldChar w:fldCharType="separate"/>
            </w:r>
            <w:r w:rsidRPr="00E85890">
              <w:rPr>
                <w:rStyle w:val="ad"/>
              </w:rPr>
              <w:t>https</w:t>
            </w:r>
            <w:r w:rsidRPr="00E85890">
              <w:rPr>
                <w:rStyle w:val="ad"/>
                <w:lang w:val="ru-RU"/>
              </w:rPr>
              <w:t>://</w:t>
            </w:r>
            <w:r w:rsidRPr="00E85890">
              <w:rPr>
                <w:rStyle w:val="ad"/>
              </w:rPr>
              <w:t>www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rts</w:t>
            </w:r>
            <w:proofErr w:type="spellEnd"/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tender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ru</w:t>
            </w:r>
            <w:proofErr w:type="spellEnd"/>
            <w:r w:rsidRPr="00E85890">
              <w:rPr>
                <w:rStyle w:val="ad"/>
                <w:lang w:val="ru-RU"/>
              </w:rPr>
              <w:t>/</w:t>
            </w:r>
            <w:r w:rsidRPr="00E85890">
              <w:rPr>
                <w:rStyle w:val="ad"/>
              </w:rPr>
              <w:t>property</w:t>
            </w:r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sales</w:t>
            </w:r>
            <w:r w:rsidR="00023DBA">
              <w:rPr>
                <w:rStyle w:val="ad"/>
              </w:rPr>
              <w:fldChar w:fldCharType="end"/>
            </w:r>
          </w:p>
        </w:tc>
      </w:tr>
      <w:tr w:rsidR="00BF600F" w:rsidRPr="008231EE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106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8231EE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93033A" w:rsidRPr="0093033A" w:rsidRDefault="0093033A" w:rsidP="0093033A">
            <w:pPr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 xml:space="preserve">Нежилое помещение с кадастровым номером 24:58:0303007:318, расположенное по адресу: Российская Федерация, Красноярский край, городской округ ЗАТО город Железногорск, город Железногорск, ул. Ленина, </w:t>
            </w:r>
            <w:proofErr w:type="spellStart"/>
            <w:r w:rsidRPr="0093033A">
              <w:rPr>
                <w:lang w:val="ru-RU"/>
              </w:rPr>
              <w:t>зд</w:t>
            </w:r>
            <w:proofErr w:type="spellEnd"/>
            <w:r w:rsidRPr="0093033A">
              <w:rPr>
                <w:lang w:val="ru-RU"/>
              </w:rPr>
              <w:t xml:space="preserve">. 8А, </w:t>
            </w:r>
            <w:proofErr w:type="spellStart"/>
            <w:r w:rsidRPr="0093033A">
              <w:rPr>
                <w:lang w:val="ru-RU"/>
              </w:rPr>
              <w:t>помещ</w:t>
            </w:r>
            <w:proofErr w:type="spellEnd"/>
            <w:r w:rsidRPr="0093033A">
              <w:rPr>
                <w:lang w:val="ru-RU"/>
              </w:rPr>
              <w:t>. 15 (объект 2).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 xml:space="preserve">Площадь объекта: 14,0 </w:t>
            </w:r>
            <w:proofErr w:type="spellStart"/>
            <w:r w:rsidRPr="0093033A">
              <w:rPr>
                <w:lang w:val="ru-RU"/>
              </w:rPr>
              <w:t>кв.м</w:t>
            </w:r>
            <w:proofErr w:type="spellEnd"/>
            <w:r w:rsidRPr="0093033A">
              <w:rPr>
                <w:lang w:val="ru-RU"/>
              </w:rPr>
              <w:t>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Технические характеристики объекта: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proofErr w:type="gramStart"/>
            <w:r w:rsidRPr="0093033A">
              <w:rPr>
                <w:lang w:val="ru-RU"/>
              </w:rPr>
              <w:t>Помещение</w:t>
            </w:r>
            <w:proofErr w:type="gramEnd"/>
            <w:r w:rsidRPr="0093033A">
              <w:rPr>
                <w:lang w:val="ru-RU"/>
              </w:rPr>
              <w:t xml:space="preserve"> расположенное на первом этаже нежилого здания, вход из коридора общего пользования. Отопление, электроосвещение имеются. Сан. узлы общего пользования - на этаже. </w:t>
            </w:r>
          </w:p>
          <w:p w:rsidR="00B22299" w:rsidRPr="003F57A1" w:rsidRDefault="00B2229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BF600F" w:rsidRPr="003F57A1" w:rsidRDefault="00BF600F" w:rsidP="004A27A9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r w:rsidR="00023DBA">
              <w:fldChar w:fldCharType="begin"/>
            </w:r>
            <w:r w:rsidR="00023DBA" w:rsidRPr="008231EE">
              <w:rPr>
                <w:lang w:val="ru-RU"/>
              </w:rPr>
              <w:instrText xml:space="preserve"> </w:instrText>
            </w:r>
            <w:r w:rsidR="00023DBA">
              <w:instrText>HYPERLINK</w:instrText>
            </w:r>
            <w:r w:rsidR="00023DBA" w:rsidRPr="008231EE">
              <w:rPr>
                <w:lang w:val="ru-RU"/>
              </w:rPr>
              <w:instrText xml:space="preserve"> "</w:instrText>
            </w:r>
            <w:r w:rsidR="00023DBA">
              <w:instrText>http</w:instrText>
            </w:r>
            <w:r w:rsidR="00023DBA" w:rsidRPr="008231EE">
              <w:rPr>
                <w:lang w:val="ru-RU"/>
              </w:rPr>
              <w:instrText>://</w:instrText>
            </w:r>
            <w:r w:rsidR="00023DBA">
              <w:instrText>www</w:instrText>
            </w:r>
            <w:r w:rsidR="00023DBA" w:rsidRPr="008231EE">
              <w:rPr>
                <w:lang w:val="ru-RU"/>
              </w:rPr>
              <w:instrText>.</w:instrText>
            </w:r>
            <w:r w:rsidR="00023DBA">
              <w:instrText>admk</w:instrText>
            </w:r>
            <w:r w:rsidR="00023DBA" w:rsidRPr="008231EE">
              <w:rPr>
                <w:lang w:val="ru-RU"/>
              </w:rPr>
              <w:instrText>26.</w:instrText>
            </w:r>
            <w:r w:rsidR="00023DBA">
              <w:instrText>ru</w:instrText>
            </w:r>
            <w:r w:rsidR="00023DBA" w:rsidRPr="008231EE">
              <w:rPr>
                <w:lang w:val="ru-RU"/>
              </w:rPr>
              <w:instrText xml:space="preserve">" </w:instrText>
            </w:r>
            <w:r w:rsidR="00023DBA">
              <w:fldChar w:fldCharType="separate"/>
            </w:r>
            <w:r w:rsidRPr="003F57A1">
              <w:rPr>
                <w:lang w:val="ru-RU"/>
              </w:rPr>
              <w:t>www.admk26.ru</w:t>
            </w:r>
            <w:r w:rsidR="00023DBA">
              <w:rPr>
                <w:lang w:val="ru-RU"/>
              </w:rPr>
              <w:fldChar w:fldCharType="end"/>
            </w:r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</w:t>
            </w:r>
            <w:r w:rsidRPr="003F57A1">
              <w:rPr>
                <w:lang w:val="ru-RU"/>
              </w:rPr>
              <w:lastRenderedPageBreak/>
              <w:t>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F600F" w:rsidRPr="003F57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lastRenderedPageBreak/>
              <w:t>2.2.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93033A" w:rsidP="003F57A1">
            <w:pPr>
              <w:rPr>
                <w:lang w:val="ru-RU"/>
              </w:rPr>
            </w:pPr>
            <w:r>
              <w:rPr>
                <w:lang w:val="ru-RU"/>
              </w:rPr>
              <w:t>216 (двести шестнадцать) рублей 00 копеек</w:t>
            </w:r>
          </w:p>
        </w:tc>
      </w:tr>
      <w:tr w:rsidR="00BF600F" w:rsidRPr="008231EE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2.3.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93033A" w:rsidP="0093033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A27A9" w:rsidRPr="004A27A9">
              <w:rPr>
                <w:lang w:val="ru-RU"/>
              </w:rPr>
              <w:t> </w:t>
            </w:r>
            <w:r>
              <w:rPr>
                <w:lang w:val="ru-RU"/>
              </w:rPr>
              <w:t>024</w:t>
            </w:r>
            <w:r w:rsidR="004A27A9" w:rsidRPr="004A27A9"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 xml:space="preserve">три </w:t>
            </w:r>
            <w:r w:rsidR="004A27A9" w:rsidRPr="004A27A9">
              <w:rPr>
                <w:lang w:val="ru-RU"/>
              </w:rPr>
              <w:t xml:space="preserve"> тысяч</w:t>
            </w:r>
            <w:r>
              <w:rPr>
                <w:lang w:val="ru-RU"/>
              </w:rPr>
              <w:t>и</w:t>
            </w:r>
            <w:proofErr w:type="gramEnd"/>
            <w:r w:rsidR="004A27A9"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двадцать четыре) р</w:t>
            </w:r>
            <w:r w:rsidR="004A27A9"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 xml:space="preserve">я </w:t>
            </w:r>
            <w:r w:rsidR="004A27A9" w:rsidRPr="004A27A9">
              <w:rPr>
                <w:lang w:val="ru-RU"/>
              </w:rPr>
              <w:t>00 копеек</w:t>
            </w:r>
          </w:p>
        </w:tc>
      </w:tr>
      <w:tr w:rsidR="00BF600F" w:rsidRPr="003F57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2.4.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93033A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</w:t>
            </w:r>
            <w:r w:rsidR="0093033A">
              <w:rPr>
                <w:lang w:val="ru-RU"/>
              </w:rPr>
              <w:t>е</w:t>
            </w:r>
          </w:p>
        </w:tc>
      </w:tr>
      <w:tr w:rsidR="00BF600F" w:rsidRPr="008231EE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2.5.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6A5B61" w:rsidRDefault="0093033A" w:rsidP="0093033A">
            <w:pPr>
              <w:rPr>
                <w:lang w:val="ru-RU"/>
              </w:rPr>
            </w:pPr>
            <w:r>
              <w:rPr>
                <w:lang w:val="ru-RU"/>
              </w:rPr>
              <w:t>151 (сто пятьдесят один)</w:t>
            </w:r>
            <w:r w:rsidR="004A27A9" w:rsidRPr="004A27A9">
              <w:rPr>
                <w:lang w:val="ru-RU"/>
              </w:rPr>
              <w:t xml:space="preserve"> рубл</w:t>
            </w:r>
            <w:r>
              <w:rPr>
                <w:lang w:val="ru-RU"/>
              </w:rPr>
              <w:t>ь</w:t>
            </w:r>
            <w:r w:rsidR="004A27A9"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4A27A9" w:rsidRPr="004A27A9">
              <w:rPr>
                <w:lang w:val="ru-RU"/>
              </w:rPr>
              <w:t>0 копеек</w:t>
            </w:r>
          </w:p>
        </w:tc>
      </w:tr>
      <w:tr w:rsidR="00BF600F" w:rsidRPr="006A5B6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2.6.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8231EE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2.7.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BF600F" w:rsidRPr="006A5B61" w:rsidRDefault="0093033A" w:rsidP="002C4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A27A9">
              <w:rPr>
                <w:lang w:val="ru-RU"/>
              </w:rPr>
              <w:t> </w:t>
            </w:r>
            <w:r>
              <w:rPr>
                <w:lang w:val="ru-RU"/>
              </w:rPr>
              <w:t>024</w:t>
            </w:r>
            <w:r w:rsidRPr="004A27A9"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 xml:space="preserve">три </w:t>
            </w:r>
            <w:r w:rsidRPr="004A27A9">
              <w:rPr>
                <w:lang w:val="ru-RU"/>
              </w:rPr>
              <w:t xml:space="preserve"> тысяч</w:t>
            </w:r>
            <w:r>
              <w:rPr>
                <w:lang w:val="ru-RU"/>
              </w:rPr>
              <w:t>и</w:t>
            </w:r>
            <w:proofErr w:type="gramEnd"/>
            <w:r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двадцать четыре) р</w:t>
            </w:r>
            <w:r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 xml:space="preserve">я </w:t>
            </w:r>
            <w:r w:rsidRPr="004A27A9">
              <w:rPr>
                <w:lang w:val="ru-RU"/>
              </w:rPr>
              <w:t>00 копеек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172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5087E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DC6D9E">
              <w:rPr>
                <w:b/>
                <w:lang w:val="ru-RU"/>
              </w:rPr>
              <w:t>18</w:t>
            </w:r>
            <w:r w:rsidRPr="009000EB">
              <w:rPr>
                <w:b/>
                <w:lang w:val="ru-RU"/>
              </w:rPr>
              <w:t xml:space="preserve">» </w:t>
            </w:r>
            <w:r w:rsidR="00DC6D9E">
              <w:rPr>
                <w:b/>
                <w:lang w:val="ru-RU"/>
              </w:rPr>
              <w:t xml:space="preserve">июня </w:t>
            </w:r>
            <w:r w:rsidR="00025319">
              <w:rPr>
                <w:b/>
                <w:lang w:val="ru-RU"/>
              </w:rPr>
              <w:t>2025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172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9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 xml:space="preserve"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</w:t>
            </w:r>
            <w:r w:rsidRPr="00CF0173">
              <w:rPr>
                <w:sz w:val="20"/>
                <w:shd w:val="clear" w:color="auto" w:fill="FFFFFF"/>
              </w:rPr>
              <w:lastRenderedPageBreak/>
              <w:t>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172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107162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3619F4" w:rsidRPr="003619F4">
              <w:rPr>
                <w:lang w:val="ru-RU"/>
              </w:rPr>
              <w:t xml:space="preserve">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107162" w:rsidP="0010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172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D821E0" w:rsidP="0005087E">
            <w:pPr>
              <w:jc w:val="both"/>
              <w:rPr>
                <w:lang w:val="ru-RU"/>
              </w:rPr>
            </w:pPr>
            <w:r w:rsidRPr="006A5B61">
              <w:rPr>
                <w:bCs/>
                <w:lang w:val="ru-RU"/>
              </w:rPr>
              <w:t xml:space="preserve"> «</w:t>
            </w:r>
            <w:r w:rsidR="00DC6D9E">
              <w:rPr>
                <w:bCs/>
                <w:lang w:val="ru-RU"/>
              </w:rPr>
              <w:t>19</w:t>
            </w:r>
            <w:r w:rsidRPr="006A5B61">
              <w:rPr>
                <w:bCs/>
                <w:lang w:val="ru-RU"/>
              </w:rPr>
              <w:t xml:space="preserve">» </w:t>
            </w:r>
            <w:r w:rsidR="00DC6D9E">
              <w:rPr>
                <w:bCs/>
                <w:lang w:val="ru-RU"/>
              </w:rPr>
              <w:t xml:space="preserve">июня </w:t>
            </w:r>
            <w:r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Pr="006A5B61">
              <w:rPr>
                <w:lang w:val="ru-RU"/>
              </w:rPr>
              <w:t>.00 (время местное).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172" w:type="dxa"/>
          </w:tcPr>
          <w:p w:rsidR="00A13931" w:rsidRPr="006A5B61" w:rsidRDefault="0007357F" w:rsidP="0005087E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DC6D9E">
              <w:rPr>
                <w:lang w:val="ru-RU"/>
              </w:rPr>
              <w:t>23</w:t>
            </w:r>
            <w:r w:rsidRPr="006A5B61">
              <w:rPr>
                <w:lang w:val="ru-RU"/>
              </w:rPr>
              <w:t xml:space="preserve">» </w:t>
            </w:r>
            <w:r w:rsidR="00DC6D9E">
              <w:rPr>
                <w:lang w:val="ru-RU"/>
              </w:rPr>
              <w:t xml:space="preserve">июня </w:t>
            </w:r>
            <w:r w:rsidR="00923E57">
              <w:rPr>
                <w:lang w:val="ru-RU"/>
              </w:rPr>
              <w:t>2025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172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</w:t>
            </w:r>
            <w:proofErr w:type="gramStart"/>
            <w:r w:rsidRPr="0067659F">
              <w:rPr>
                <w:lang w:val="ru-RU"/>
              </w:rPr>
              <w:t>арендуемого объекта</w:t>
            </w:r>
            <w:proofErr w:type="gramEnd"/>
            <w:r w:rsidRPr="0067659F">
              <w:rPr>
                <w:lang w:val="ru-RU"/>
              </w:rPr>
              <w:t xml:space="preserve"> производится не позднее 15 числа месяца, следующего за месяцем, в котором </w:t>
            </w:r>
            <w:r w:rsidRPr="0067659F">
              <w:rPr>
                <w:lang w:val="ru-RU"/>
              </w:rPr>
              <w:lastRenderedPageBreak/>
              <w:t>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172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8231EE" w:rsidTr="00287E91">
        <w:tc>
          <w:tcPr>
            <w:tcW w:w="80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172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  <w:bookmarkStart w:id="0" w:name="_GoBack"/>
      <w:bookmarkEnd w:id="0"/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DBA" w:rsidRDefault="00023DBA">
      <w:r>
        <w:separator/>
      </w:r>
    </w:p>
  </w:endnote>
  <w:endnote w:type="continuationSeparator" w:id="0">
    <w:p w:rsidR="00023DBA" w:rsidRDefault="000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DBA" w:rsidRDefault="00023DBA">
      <w:r>
        <w:separator/>
      </w:r>
    </w:p>
  </w:footnote>
  <w:footnote w:type="continuationSeparator" w:id="0">
    <w:p w:rsidR="00023DBA" w:rsidRDefault="0002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1450"/>
    <w:rsid w:val="00023DBA"/>
    <w:rsid w:val="000248A6"/>
    <w:rsid w:val="00025319"/>
    <w:rsid w:val="00026735"/>
    <w:rsid w:val="00030C82"/>
    <w:rsid w:val="00031E1B"/>
    <w:rsid w:val="000361BB"/>
    <w:rsid w:val="00040CD2"/>
    <w:rsid w:val="0004173F"/>
    <w:rsid w:val="00046451"/>
    <w:rsid w:val="0005087E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4B6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07162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87E91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2CD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D6A85"/>
    <w:rsid w:val="004E125D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4ABA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0785"/>
    <w:rsid w:val="007F19BE"/>
    <w:rsid w:val="007F2A38"/>
    <w:rsid w:val="007F4700"/>
    <w:rsid w:val="007F4E8C"/>
    <w:rsid w:val="007F77DA"/>
    <w:rsid w:val="008047FD"/>
    <w:rsid w:val="00804B62"/>
    <w:rsid w:val="00805BB5"/>
    <w:rsid w:val="0080600C"/>
    <w:rsid w:val="008111FE"/>
    <w:rsid w:val="008120B4"/>
    <w:rsid w:val="00812B20"/>
    <w:rsid w:val="00813CD2"/>
    <w:rsid w:val="00817676"/>
    <w:rsid w:val="008231EE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5371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064E"/>
    <w:rsid w:val="008B1185"/>
    <w:rsid w:val="008B23DA"/>
    <w:rsid w:val="008B440A"/>
    <w:rsid w:val="008B765D"/>
    <w:rsid w:val="008C133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33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250A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39CF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87DD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189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D9E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06729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B182B-75B8-4DE7-9B57-853A5D4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tariffs/platformproperty-sales-tarif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80BC-E934-4CF7-86CB-624A5DAB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11466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6</cp:revision>
  <cp:lastPrinted>2024-02-26T03:35:00Z</cp:lastPrinted>
  <dcterms:created xsi:type="dcterms:W3CDTF">2025-05-22T07:40:00Z</dcterms:created>
  <dcterms:modified xsi:type="dcterms:W3CDTF">2025-05-22T08:35:00Z</dcterms:modified>
</cp:coreProperties>
</file>